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6D26" w14:textId="77777777" w:rsidR="001D7128" w:rsidRPr="00821F9A" w:rsidRDefault="00C215C1" w:rsidP="008C483F">
      <w:pPr>
        <w:spacing w:before="60" w:after="0" w:line="240" w:lineRule="auto"/>
        <w:ind w:right="-20"/>
        <w:rPr>
          <w:rFonts w:eastAsia="Myriad Pro" w:cs="Myriad Pro"/>
          <w:sz w:val="24"/>
          <w:szCs w:val="24"/>
        </w:rPr>
      </w:pPr>
      <w:r w:rsidRPr="00821F9A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56A6D59" wp14:editId="756A6D5A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98EC7" id="Group 6" o:spid="_x0000_s1026" style="position:absolute;margin-left:195.35pt;margin-top:95.6pt;width:315pt;height:.1pt;z-index:-251659264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56A6D27" w14:textId="77777777" w:rsidR="001D7128" w:rsidRPr="00821F9A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243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582"/>
      </w:tblGrid>
      <w:tr w:rsidR="001D7128" w:rsidRPr="00821F9A" w14:paraId="756A6D2A" w14:textId="77777777" w:rsidTr="001F67BE">
        <w:trPr>
          <w:trHeight w:hRule="exact" w:val="922"/>
        </w:trPr>
        <w:tc>
          <w:tcPr>
            <w:tcW w:w="9243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756A6D28" w14:textId="77777777" w:rsidR="001D7128" w:rsidRPr="0003135B" w:rsidRDefault="001D7128">
            <w:pPr>
              <w:spacing w:before="3" w:after="0" w:line="14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56A6D29" w14:textId="77777777" w:rsidR="001D7128" w:rsidRPr="0003135B" w:rsidRDefault="00B13212">
            <w:pPr>
              <w:spacing w:after="0" w:line="240" w:lineRule="auto"/>
              <w:ind w:left="1360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S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6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AN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4"/>
                <w:sz w:val="20"/>
                <w:szCs w:val="20"/>
              </w:rPr>
              <w:t>D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ARDNI OB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Z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C SADR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Ž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3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JA DOKUMEN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6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 xml:space="preserve">A 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2"/>
                <w:sz w:val="20"/>
                <w:szCs w:val="20"/>
              </w:rPr>
              <w:t>Z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 S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3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9"/>
                <w:sz w:val="20"/>
                <w:szCs w:val="20"/>
              </w:rPr>
              <w:t>V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JE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6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2"/>
                <w:sz w:val="20"/>
                <w:szCs w:val="20"/>
              </w:rPr>
              <w:t>O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pacing w:val="-12"/>
                <w:sz w:val="20"/>
                <w:szCs w:val="20"/>
              </w:rPr>
              <w:t>V</w:t>
            </w:r>
            <w:r w:rsidRPr="0003135B">
              <w:rPr>
                <w:rFonts w:ascii="Century Gothic" w:eastAsia="Myriad Pro" w:hAnsi="Century Gothic" w:cs="Myriad Pro"/>
                <w:b/>
                <w:bCs/>
                <w:color w:val="FFFFFF"/>
                <w:sz w:val="20"/>
                <w:szCs w:val="20"/>
              </w:rPr>
              <w:t>ANJE</w:t>
            </w:r>
          </w:p>
        </w:tc>
      </w:tr>
      <w:tr w:rsidR="001D7128" w:rsidRPr="00821F9A" w14:paraId="756A6D30" w14:textId="77777777" w:rsidTr="001F67BE">
        <w:trPr>
          <w:trHeight w:hRule="exact" w:val="921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2B" w14:textId="77777777" w:rsidR="001D7128" w:rsidRPr="0003135B" w:rsidRDefault="001D7128">
            <w:pPr>
              <w:spacing w:before="1" w:after="0" w:line="24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56A6D2C" w14:textId="77777777" w:rsidR="001D7128" w:rsidRPr="0003135B" w:rsidRDefault="00B13212">
            <w:pPr>
              <w:spacing w:after="0" w:line="240" w:lineRule="auto"/>
              <w:ind w:left="108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Nasl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o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 dokumenta</w:t>
            </w:r>
          </w:p>
        </w:tc>
        <w:tc>
          <w:tcPr>
            <w:tcW w:w="658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2D" w14:textId="77777777" w:rsidR="0000644A" w:rsidRPr="0003135B" w:rsidRDefault="0000644A">
            <w:pPr>
              <w:spacing w:before="6" w:after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41820430" w14:textId="77777777" w:rsidR="00AD5CD3" w:rsidRDefault="00AD5CD3" w:rsidP="00B307C3">
            <w:pPr>
              <w:spacing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 Nacrt prijedloga</w:t>
            </w:r>
            <w:r w:rsidR="001F1C4A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225F6F">
              <w:rPr>
                <w:rFonts w:ascii="Century Gothic" w:eastAsia="Myriad Pro" w:hAnsi="Century Gothic" w:cs="Myriad Pro"/>
                <w:sz w:val="20"/>
                <w:szCs w:val="20"/>
              </w:rPr>
              <w:t>Pravilnika o provedbi postupaka jednostavne</w:t>
            </w:r>
          </w:p>
          <w:p w14:paraId="756A6D2F" w14:textId="0B29111C" w:rsidR="00B070AA" w:rsidRPr="0003135B" w:rsidRDefault="00225F6F" w:rsidP="00B307C3">
            <w:pPr>
              <w:spacing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AD5CD3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>
              <w:rPr>
                <w:rFonts w:ascii="Century Gothic" w:eastAsia="Myriad Pro" w:hAnsi="Century Gothic" w:cs="Myriad Pro"/>
                <w:sz w:val="20"/>
                <w:szCs w:val="20"/>
              </w:rPr>
              <w:t>nabave</w:t>
            </w:r>
          </w:p>
        </w:tc>
      </w:tr>
      <w:tr w:rsidR="001D7128" w:rsidRPr="00821F9A" w14:paraId="756A6D36" w14:textId="77777777" w:rsidTr="0009548E">
        <w:trPr>
          <w:trHeight w:hRule="exact" w:val="915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2" w14:textId="77777777" w:rsidR="001D7128" w:rsidRPr="0003135B" w:rsidRDefault="00B13212">
            <w:pPr>
              <w:spacing w:before="37" w:after="0" w:line="260" w:lineRule="exact"/>
              <w:ind w:left="108" w:right="407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S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2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vara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1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elj dokumenta, tijelo koje p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rov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odi s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a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vje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1"/>
                <w:sz w:val="20"/>
                <w:szCs w:val="20"/>
              </w:rPr>
              <w:t>t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o</w:t>
            </w:r>
            <w:r w:rsidRPr="0003135B">
              <w:rPr>
                <w:rFonts w:ascii="Century Gothic" w:eastAsia="Myriad Pro" w:hAnsi="Century Gothic" w:cs="Myriad Pro"/>
                <w:color w:val="231F20"/>
                <w:spacing w:val="-1"/>
                <w:sz w:val="20"/>
                <w:szCs w:val="20"/>
              </w:rPr>
              <w:t>v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anje</w:t>
            </w:r>
          </w:p>
        </w:tc>
        <w:tc>
          <w:tcPr>
            <w:tcW w:w="65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4" w14:textId="77777777" w:rsidR="00322960" w:rsidRPr="0003135B" w:rsidRDefault="00322960">
            <w:pPr>
              <w:spacing w:before="16" w:after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56A6D35" w14:textId="2B1359B4" w:rsidR="001D7128" w:rsidRPr="0003135B" w:rsidRDefault="007F2FA6">
            <w:pPr>
              <w:spacing w:after="0" w:line="240" w:lineRule="auto"/>
              <w:ind w:left="165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pacing w:val="-3"/>
                <w:sz w:val="20"/>
                <w:szCs w:val="20"/>
              </w:rPr>
              <w:t>Zavod za prostorno uređenje Karlovačke županije, Jurja Križanića 11, Karlovac</w:t>
            </w:r>
          </w:p>
        </w:tc>
      </w:tr>
      <w:tr w:rsidR="001D7128" w:rsidRPr="00821F9A" w14:paraId="756A6D3B" w14:textId="77777777" w:rsidTr="007647A1">
        <w:trPr>
          <w:trHeight w:hRule="exact" w:val="121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37" w14:textId="77777777" w:rsidR="0000644A" w:rsidRPr="0003135B" w:rsidRDefault="0000644A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</w:pPr>
          </w:p>
          <w:p w14:paraId="756A6D38" w14:textId="77777777" w:rsidR="001D7128" w:rsidRPr="0003135B" w:rsidRDefault="00B13212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pacing w:val="-2"/>
                <w:sz w:val="20"/>
                <w:szCs w:val="20"/>
              </w:rPr>
              <w:t>S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vrha dokumenta</w:t>
            </w:r>
            <w:r w:rsidR="00B070AA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/ o</w:t>
            </w:r>
            <w:r w:rsidR="00D14424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brazloženje</w:t>
            </w:r>
          </w:p>
        </w:tc>
        <w:tc>
          <w:tcPr>
            <w:tcW w:w="65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39" w14:textId="77777777" w:rsidR="0000644A" w:rsidRPr="0003135B" w:rsidRDefault="0000644A" w:rsidP="00933D00">
            <w:pPr>
              <w:spacing w:before="35" w:after="0" w:line="240" w:lineRule="auto"/>
              <w:ind w:left="164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</w:p>
          <w:p w14:paraId="756A6D3A" w14:textId="266CCCEB" w:rsidR="001D7128" w:rsidRPr="0003135B" w:rsidRDefault="00852E04" w:rsidP="00B307C3">
            <w:pPr>
              <w:spacing w:before="35" w:after="0" w:line="240" w:lineRule="auto"/>
              <w:ind w:left="164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Omogućiti zainteresiranoj javnosti na uvid</w:t>
            </w:r>
            <w:r w:rsidR="003D6DB6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te dostavljanje mišljenja i primjedbi na </w:t>
            </w:r>
            <w:r w:rsidR="00AD5CD3">
              <w:rPr>
                <w:rFonts w:ascii="Century Gothic" w:eastAsia="Myriad Pro" w:hAnsi="Century Gothic" w:cs="Myriad Pro"/>
                <w:sz w:val="20"/>
                <w:szCs w:val="20"/>
              </w:rPr>
              <w:t>prijedlog</w:t>
            </w:r>
            <w:r w:rsidR="003D6DB6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225F6F">
              <w:rPr>
                <w:rFonts w:ascii="Century Gothic" w:eastAsia="Myriad Pro" w:hAnsi="Century Gothic" w:cs="Myriad Pro"/>
                <w:sz w:val="20"/>
                <w:szCs w:val="20"/>
              </w:rPr>
              <w:t>Pravilnika o provedbi postupaka jednostavne nabave</w:t>
            </w:r>
          </w:p>
        </w:tc>
      </w:tr>
      <w:tr w:rsidR="001D7128" w:rsidRPr="00821F9A" w14:paraId="756A6D40" w14:textId="77777777" w:rsidTr="001F67BE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C" w14:textId="77777777" w:rsidR="0000644A" w:rsidRPr="0003135B" w:rsidRDefault="0000644A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</w:p>
          <w:p w14:paraId="756A6D3D" w14:textId="77777777" w:rsidR="001D7128" w:rsidRPr="0003135B" w:rsidRDefault="00B13212">
            <w:pPr>
              <w:spacing w:before="35" w:after="0" w:line="240" w:lineRule="auto"/>
              <w:ind w:left="108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Datum dokumenta</w:t>
            </w:r>
          </w:p>
        </w:tc>
        <w:tc>
          <w:tcPr>
            <w:tcW w:w="65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3E" w14:textId="77777777" w:rsidR="0000644A" w:rsidRPr="0003135B" w:rsidRDefault="0000644A">
            <w:pPr>
              <w:spacing w:before="35" w:after="0" w:line="240" w:lineRule="auto"/>
              <w:ind w:left="165" w:right="-20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</w:p>
          <w:p w14:paraId="756A6D3F" w14:textId="5D572653" w:rsidR="001D7128" w:rsidRPr="0003135B" w:rsidRDefault="00AC7918">
            <w:pPr>
              <w:spacing w:before="35" w:after="0" w:line="240" w:lineRule="auto"/>
              <w:ind w:left="165"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  <w:r w:rsidR="00225F6F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Lipanj </w:t>
            </w:r>
            <w:r w:rsidR="00400F33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20</w:t>
            </w:r>
            <w:r w:rsidR="00F1528B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2</w:t>
            </w:r>
            <w:r w:rsidR="00225F6F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6</w:t>
            </w:r>
            <w:r w:rsidR="00B070AA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.</w:t>
            </w:r>
            <w:r w:rsidR="00F47DCD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godine</w:t>
            </w:r>
          </w:p>
        </w:tc>
      </w:tr>
      <w:tr w:rsidR="001D7128" w:rsidRPr="00821F9A" w14:paraId="756A6D43" w14:textId="77777777" w:rsidTr="007647A1">
        <w:trPr>
          <w:trHeight w:hRule="exact" w:val="511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A6D42" w14:textId="59BEDC5F" w:rsidR="001D7128" w:rsidRPr="0003135B" w:rsidRDefault="007F2FA6" w:rsidP="0003135B">
            <w:pPr>
              <w:spacing w:before="37" w:after="0" w:line="260" w:lineRule="exact"/>
              <w:ind w:right="645"/>
              <w:jc w:val="center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W</w:t>
            </w:r>
            <w:r w:rsidR="00D14424" w:rsidRPr="0003135B">
              <w:rPr>
                <w:rFonts w:ascii="Century Gothic" w:hAnsi="Century Gothic"/>
                <w:sz w:val="20"/>
                <w:szCs w:val="20"/>
              </w:rPr>
              <w:t>eb savjetovanje</w:t>
            </w:r>
          </w:p>
        </w:tc>
      </w:tr>
      <w:tr w:rsidR="001D7128" w:rsidRPr="00821F9A" w14:paraId="756A6D46" w14:textId="77777777" w:rsidTr="00CE44A1">
        <w:trPr>
          <w:trHeight w:hRule="exact" w:val="3672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D872282" w14:textId="47F6FC78" w:rsidR="00225F6F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Zavod za prostorno uređenje Karlovačke županije obveznik je primjene Zakona o javnoj nabavi („Narodne novine“ 120/16, 114/22 i 48/26).</w:t>
            </w:r>
          </w:p>
          <w:p w14:paraId="5D907BF4" w14:textId="6D5DAD8C" w:rsidR="00225F6F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Zakon o izmjenama i dopunama Zakona o javnoj nabavi objavljen je u „Narodnim novinama“ 48/26 te je stupio na snagu 16. svibnja 2026. godine. U istom je u članku 12. propisano da se Zakon ne primjenjuje na nabavu robe i usluga te provedbu natječajnih projekata procijenjene vrijednosti manje od 50.000,00 €, odnosno za nabavu radova procijenjene vrijednosti manje od 100.000,00 €.</w:t>
            </w:r>
          </w:p>
          <w:p w14:paraId="3B698DC0" w14:textId="623C7546" w:rsidR="00225F6F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Člankom 15. istog Zakona propisano je da pravila, uvjete i postupke jednostavne nabave utvrđuje naručitelj općim aktom. </w:t>
            </w:r>
            <w:r w:rsidR="00206DBA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N</w:t>
            </w: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avedenim izmjenama Zakona propisano je da odredbe članka 12. i 15. stupaju na snagu 1. rujna 2026. godine</w:t>
            </w:r>
            <w:r w:rsidR="00CE44A1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,</w:t>
            </w: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dok se opći akt kojim se uređuju pravila, uvjeti i postupci jednostavne nabave mora uskladiti s odredbama istog Zakona do 16. kolovoza 2026. godine. </w:t>
            </w:r>
          </w:p>
          <w:p w14:paraId="756A6D45" w14:textId="435ED319" w:rsidR="00225F6F" w:rsidRPr="0003135B" w:rsidRDefault="00225F6F" w:rsidP="00AC7918">
            <w:pPr>
              <w:spacing w:after="0" w:line="240" w:lineRule="auto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Kako važeći Pravilnik o  provedbi postupaka jednostavne nabave u dijelovima nije usklađen sa zadnjim izmjenama i dopunama Zakona o javnoj nabavi, predlaže se donošenje novog Pravilnika o provedbi postupaka jednostavne nabave.</w:t>
            </w:r>
          </w:p>
        </w:tc>
      </w:tr>
      <w:tr w:rsidR="001D7128" w:rsidRPr="00821F9A" w14:paraId="756A6D49" w14:textId="77777777" w:rsidTr="00CE44A1">
        <w:trPr>
          <w:trHeight w:hRule="exact" w:val="1994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8FB153" w14:textId="6936E6BB" w:rsidR="00CE44A1" w:rsidRDefault="0020266B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Trajanje savjetovanja: </w:t>
            </w:r>
            <w:r w:rsidR="00607E30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20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dana</w:t>
            </w:r>
            <w:r w:rsidR="00CE44A1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.</w:t>
            </w: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  <w:r w:rsidR="007F2FA6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 </w:t>
            </w:r>
          </w:p>
          <w:p w14:paraId="2A81196D" w14:textId="548FCFDC" w:rsidR="00CE44A1" w:rsidRPr="0003135B" w:rsidRDefault="00CE44A1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S obzirom da predložene izmjene Pravilnika predstavljaju usklađenje sa zakonskim odredbama, nisu takve naravi da zahtijevaju dulje savjetovanje te u svrhu pravodobnog donošenja i objave Pravilnika, primjenjuje se skraćeni rok savjetovanja manji od 30 dana, koji je ocijenjen kao primjeren i dostatan za upoznavanje javnosti s predloženim izmjenama Pravilnika.</w:t>
            </w:r>
          </w:p>
          <w:p w14:paraId="0539D02F" w14:textId="70FFFDB1" w:rsidR="007D7248" w:rsidRPr="0003135B" w:rsidRDefault="007F2FA6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R</w:t>
            </w:r>
            <w:r w:rsidR="00275908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ok zaprimanja </w:t>
            </w:r>
            <w:r w:rsidR="00715B63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prijedloga, primjedbi i mišljenja na nacrt akta</w:t>
            </w:r>
            <w:r w:rsidR="00682B70"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 xml:space="preserve">: </w:t>
            </w:r>
            <w:r w:rsidR="00607E30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6.</w:t>
            </w:r>
            <w:r w:rsidR="00225F6F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 xml:space="preserve"> srpnja </w:t>
            </w:r>
            <w:r w:rsidR="0020266B" w:rsidRPr="0003135B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 xml:space="preserve"> </w:t>
            </w:r>
            <w:r w:rsidR="007D7248" w:rsidRPr="0003135B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202</w:t>
            </w:r>
            <w:r w:rsidR="00225F6F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>6</w:t>
            </w:r>
            <w:r w:rsidR="007D7248" w:rsidRPr="0003135B"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  <w:t xml:space="preserve">. godine </w:t>
            </w:r>
          </w:p>
          <w:p w14:paraId="3759379C" w14:textId="77777777" w:rsidR="00715B63" w:rsidRPr="0003135B" w:rsidRDefault="00715B63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</w:pPr>
          </w:p>
          <w:p w14:paraId="3375B54C" w14:textId="77777777" w:rsidR="00715B63" w:rsidRPr="0003135B" w:rsidRDefault="00715B63" w:rsidP="007D7248">
            <w:pPr>
              <w:spacing w:before="37" w:after="0" w:line="260" w:lineRule="exact"/>
              <w:ind w:right="270"/>
              <w:jc w:val="both"/>
              <w:rPr>
                <w:rFonts w:ascii="Century Gothic" w:eastAsia="Myriad Pro" w:hAnsi="Century Gothic" w:cs="Myriad Pro"/>
                <w:spacing w:val="-2"/>
                <w:sz w:val="20"/>
                <w:szCs w:val="20"/>
              </w:rPr>
            </w:pPr>
          </w:p>
          <w:p w14:paraId="756A6D47" w14:textId="77777777" w:rsidR="00884FFB" w:rsidRPr="0003135B" w:rsidRDefault="00884FFB" w:rsidP="00840152">
            <w:pPr>
              <w:spacing w:before="37" w:after="0" w:line="260" w:lineRule="exact"/>
              <w:ind w:right="149"/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</w:pPr>
          </w:p>
          <w:p w14:paraId="756A6D48" w14:textId="77777777" w:rsidR="00884FFB" w:rsidRPr="0003135B" w:rsidRDefault="00884FFB" w:rsidP="001A7538">
            <w:pPr>
              <w:spacing w:before="37" w:after="0" w:line="260" w:lineRule="exact"/>
              <w:ind w:right="149"/>
              <w:rPr>
                <w:rFonts w:ascii="Century Gothic" w:eastAsia="Myriad Pro" w:hAnsi="Century Gothic" w:cs="Myriad Pro"/>
                <w:sz w:val="20"/>
                <w:szCs w:val="20"/>
              </w:rPr>
            </w:pPr>
          </w:p>
        </w:tc>
      </w:tr>
      <w:tr w:rsidR="001D7128" w:rsidRPr="00821F9A" w14:paraId="756A6D4D" w14:textId="77777777" w:rsidTr="00CE44A1">
        <w:trPr>
          <w:trHeight w:hRule="exact" w:val="1054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7BF0739" w14:textId="3E1CAE50" w:rsidR="007F2FA6" w:rsidRPr="00CE44A1" w:rsidRDefault="006618E1" w:rsidP="0020266B">
            <w:pPr>
              <w:spacing w:before="37" w:after="0" w:line="260" w:lineRule="exact"/>
              <w:ind w:right="270"/>
              <w:rPr>
                <w:rFonts w:ascii="Century Gothic" w:hAnsi="Century Gothic" w:cs="Times New Roman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color w:val="231F20"/>
                <w:sz w:val="20"/>
                <w:szCs w:val="20"/>
              </w:rPr>
              <w:t>P</w:t>
            </w:r>
            <w:r w:rsidRPr="0003135B">
              <w:rPr>
                <w:rFonts w:ascii="Century Gothic" w:eastAsia="Times New Roman" w:hAnsi="Century Gothic" w:cs="Times New Roman"/>
                <w:sz w:val="20"/>
                <w:szCs w:val="20"/>
                <w:lang w:eastAsia="hr-HR"/>
              </w:rPr>
              <w:t>utem objavljenog obrasca na</w:t>
            </w:r>
            <w:r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 službenoj internetskoj stranici </w:t>
            </w:r>
            <w:r w:rsidR="007F2FA6"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Zavoda za prostorno </w:t>
            </w:r>
            <w:r w:rsidR="00CE44A1">
              <w:rPr>
                <w:rFonts w:ascii="Century Gothic" w:hAnsi="Century Gothic" w:cs="Times New Roman"/>
                <w:sz w:val="20"/>
                <w:szCs w:val="20"/>
              </w:rPr>
              <w:t>u</w:t>
            </w:r>
            <w:r w:rsidR="007F2FA6" w:rsidRPr="0003135B">
              <w:rPr>
                <w:rFonts w:ascii="Century Gothic" w:hAnsi="Century Gothic" w:cs="Times New Roman"/>
                <w:sz w:val="20"/>
                <w:szCs w:val="20"/>
              </w:rPr>
              <w:t>ređenje</w:t>
            </w:r>
            <w:r w:rsidR="0003135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C32E61" w:rsidRPr="0003135B">
              <w:rPr>
                <w:rFonts w:ascii="Century Gothic" w:hAnsi="Century Gothic" w:cs="Times New Roman"/>
                <w:sz w:val="20"/>
                <w:szCs w:val="20"/>
              </w:rPr>
              <w:t>Karlovačke županije</w:t>
            </w:r>
            <w:r w:rsidR="007F2FA6"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20266B"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hyperlink r:id="rId8" w:history="1">
              <w:r w:rsidR="0020266B" w:rsidRPr="0003135B">
                <w:rPr>
                  <w:rStyle w:val="Hiperveza"/>
                  <w:rFonts w:ascii="Century Gothic" w:hAnsi="Century Gothic" w:cs="Times New Roman"/>
                  <w:sz w:val="20"/>
                  <w:szCs w:val="20"/>
                </w:rPr>
                <w:t>http://www.zavod-kazup.hr/</w:t>
              </w:r>
            </w:hyperlink>
            <w:r w:rsidR="0020266B" w:rsidRPr="0003135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03135B">
              <w:rPr>
                <w:rFonts w:ascii="Century Gothic" w:eastAsia="Times New Roman" w:hAnsi="Century Gothic" w:cs="Times New Roman"/>
                <w:sz w:val="20"/>
                <w:szCs w:val="20"/>
                <w:lang w:eastAsia="hr-HR"/>
              </w:rPr>
              <w:t xml:space="preserve">i putem maila: </w:t>
            </w:r>
            <w:hyperlink r:id="rId9" w:history="1">
              <w:r w:rsidR="007F2FA6" w:rsidRPr="0003135B">
                <w:rPr>
                  <w:rStyle w:val="Hiperveza"/>
                  <w:rFonts w:ascii="Century Gothic" w:hAnsi="Century Gothic"/>
                  <w:sz w:val="20"/>
                  <w:szCs w:val="20"/>
                </w:rPr>
                <w:t>info@zavod-kazup.hr</w:t>
              </w:r>
            </w:hyperlink>
          </w:p>
          <w:p w14:paraId="756A6D4C" w14:textId="5E18571D" w:rsidR="0020266B" w:rsidRPr="0003135B" w:rsidRDefault="00715B63" w:rsidP="0003135B">
            <w:pPr>
              <w:spacing w:before="37" w:after="0" w:line="260" w:lineRule="exact"/>
              <w:ind w:right="27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Dodatne informacije: Slađana Fumić, </w:t>
            </w:r>
            <w:proofErr w:type="spellStart"/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dipl.iur</w:t>
            </w:r>
            <w:proofErr w:type="spellEnd"/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., ravnateljica, 091/611-3224</w:t>
            </w:r>
          </w:p>
        </w:tc>
      </w:tr>
      <w:tr w:rsidR="00E52632" w:rsidRPr="00821F9A" w14:paraId="48CFB73F" w14:textId="77777777" w:rsidTr="00C32E61">
        <w:trPr>
          <w:trHeight w:hRule="exact" w:val="1221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187467" w14:textId="43BB71EF" w:rsidR="007647A1" w:rsidRPr="0003135B" w:rsidRDefault="00715B63" w:rsidP="00CE44A1">
            <w:pPr>
              <w:spacing w:before="35" w:after="0" w:line="240" w:lineRule="auto"/>
              <w:ind w:right="-20"/>
              <w:jc w:val="both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Po završetku savjetovanja svi pristigli zahtjevi bit će razmotreni, prihvaćeni ili neprihvaćeni uz </w:t>
            </w:r>
          </w:p>
          <w:p w14:paraId="4F3A129A" w14:textId="429E9DC5" w:rsidR="0003135B" w:rsidRDefault="00715B63" w:rsidP="00CE44A1">
            <w:pPr>
              <w:spacing w:before="35" w:after="0" w:line="240" w:lineRule="auto"/>
              <w:ind w:right="-20"/>
              <w:jc w:val="both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obrazloženje</w:t>
            </w:r>
            <w:r w:rsidR="007647A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,</w:t>
            </w: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 koje će biti sastavni dio izvješća o savjetovanju s javnošću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. Izvješće će po</w:t>
            </w:r>
          </w:p>
          <w:p w14:paraId="64308C5D" w14:textId="2E8356E6" w:rsidR="0003135B" w:rsidRDefault="00C32E61" w:rsidP="00715B63">
            <w:pPr>
              <w:spacing w:before="35"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završetku  savjetovanja </w:t>
            </w:r>
            <w:r w:rsidR="00715B63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biti objavljeno na internetskoj stranici Zavoda za prostorno uređenje</w:t>
            </w:r>
          </w:p>
          <w:p w14:paraId="442133DE" w14:textId="74F30A97" w:rsidR="00E52632" w:rsidRPr="0003135B" w:rsidRDefault="00C32E61" w:rsidP="00715B63">
            <w:pPr>
              <w:spacing w:before="35" w:after="0" w:line="240" w:lineRule="auto"/>
              <w:ind w:right="-20"/>
              <w:rPr>
                <w:rFonts w:ascii="Century Gothic" w:eastAsia="Myriad Pro" w:hAnsi="Century Gothic" w:cs="Myriad Pro"/>
                <w:sz w:val="20"/>
                <w:szCs w:val="20"/>
              </w:rPr>
            </w:pPr>
            <w:r w:rsidRPr="0003135B">
              <w:rPr>
                <w:rFonts w:ascii="Century Gothic" w:eastAsia="Myriad Pro" w:hAnsi="Century Gothic" w:cs="Myriad Pro"/>
                <w:sz w:val="20"/>
                <w:szCs w:val="20"/>
              </w:rPr>
              <w:t>Karlovačke županije</w:t>
            </w:r>
          </w:p>
        </w:tc>
      </w:tr>
      <w:tr w:rsidR="001D7128" w:rsidRPr="00821F9A" w14:paraId="756A6D51" w14:textId="77777777" w:rsidTr="001F67BE">
        <w:trPr>
          <w:trHeight w:hRule="exact" w:val="1228"/>
        </w:trPr>
        <w:tc>
          <w:tcPr>
            <w:tcW w:w="92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56A6D50" w14:textId="2FCCFB3C" w:rsidR="001D7128" w:rsidRPr="0003135B" w:rsidRDefault="00CE44A1" w:rsidP="00CE44A1">
            <w:pPr>
              <w:spacing w:before="37" w:after="0" w:line="260" w:lineRule="exact"/>
              <w:ind w:left="34"/>
              <w:jc w:val="both"/>
              <w:rPr>
                <w:rFonts w:ascii="Century Gothic" w:eastAsia="Myriad Pro" w:hAnsi="Century Gothic" w:cs="Myriad Pro"/>
                <w:sz w:val="20"/>
                <w:szCs w:val="20"/>
              </w:rPr>
            </w:pPr>
            <w:r>
              <w:rPr>
                <w:rFonts w:ascii="Century Gothic" w:eastAsia="Myriad Pro" w:hAnsi="Century Gothic" w:cs="Myriad Pro"/>
                <w:sz w:val="20"/>
                <w:szCs w:val="20"/>
              </w:rPr>
              <w:t>U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koliko podnositelj prijedloga, primjedbe ili mišljenja na nacrt </w:t>
            </w:r>
            <w:r w:rsidR="00AC7918">
              <w:rPr>
                <w:rFonts w:ascii="Century Gothic" w:eastAsia="Myriad Pro" w:hAnsi="Century Gothic" w:cs="Myriad Pro"/>
                <w:sz w:val="20"/>
                <w:szCs w:val="20"/>
              </w:rPr>
              <w:t>studije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ne želi d</w:t>
            </w: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a 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njegovi</w:t>
            </w:r>
            <w:r>
              <w:rPr>
                <w:rFonts w:ascii="Century Gothic" w:eastAsia="Myriad Pro" w:hAnsi="Century Gothic" w:cs="Myriad Pro"/>
                <w:sz w:val="20"/>
                <w:szCs w:val="20"/>
              </w:rPr>
              <w:t xml:space="preserve"> </w:t>
            </w:r>
            <w:r w:rsidR="00C32E61" w:rsidRPr="0003135B">
              <w:rPr>
                <w:rFonts w:ascii="Century Gothic" w:eastAsia="Myriad Pro" w:hAnsi="Century Gothic" w:cs="Myriad Pro"/>
                <w:sz w:val="20"/>
                <w:szCs w:val="20"/>
              </w:rPr>
              <w:t>osobni podaci budu javno objavljeni, isto je potrebno posebno istaknuti pri slanju obrasca.</w:t>
            </w:r>
          </w:p>
        </w:tc>
      </w:tr>
    </w:tbl>
    <w:p w14:paraId="756A6D58" w14:textId="77777777" w:rsidR="00B13212" w:rsidRPr="00821F9A" w:rsidRDefault="00B13212" w:rsidP="005E5EEF">
      <w:pPr>
        <w:spacing w:before="7" w:after="0" w:line="120" w:lineRule="exact"/>
      </w:pPr>
    </w:p>
    <w:sectPr w:rsidR="00B13212" w:rsidRPr="00821F9A" w:rsidSect="00BC36F5">
      <w:footerReference w:type="default" r:id="rId10"/>
      <w:pgSz w:w="11900" w:h="16840"/>
      <w:pgMar w:top="567" w:right="1418" w:bottom="567" w:left="1418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B860" w14:textId="77777777" w:rsidR="00985F48" w:rsidRDefault="00985F48" w:rsidP="001D7128">
      <w:pPr>
        <w:spacing w:after="0" w:line="240" w:lineRule="auto"/>
      </w:pPr>
      <w:r>
        <w:separator/>
      </w:r>
    </w:p>
  </w:endnote>
  <w:endnote w:type="continuationSeparator" w:id="0">
    <w:p w14:paraId="31FDF210" w14:textId="77777777" w:rsidR="00985F48" w:rsidRDefault="00985F48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D5F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6A6D60" wp14:editId="756A6D6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A6D62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6D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56A6D62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5DF2" w14:textId="77777777" w:rsidR="00985F48" w:rsidRDefault="00985F48" w:rsidP="001D7128">
      <w:pPr>
        <w:spacing w:after="0" w:line="240" w:lineRule="auto"/>
      </w:pPr>
      <w:r>
        <w:separator/>
      </w:r>
    </w:p>
  </w:footnote>
  <w:footnote w:type="continuationSeparator" w:id="0">
    <w:p w14:paraId="64CE3E47" w14:textId="77777777" w:rsidR="00985F48" w:rsidRDefault="00985F48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EC"/>
    <w:multiLevelType w:val="hybridMultilevel"/>
    <w:tmpl w:val="58505418"/>
    <w:lvl w:ilvl="0" w:tplc="AA3E98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155C"/>
    <w:multiLevelType w:val="hybridMultilevel"/>
    <w:tmpl w:val="81EC99B2"/>
    <w:lvl w:ilvl="0" w:tplc="50682186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8A0"/>
    <w:multiLevelType w:val="hybridMultilevel"/>
    <w:tmpl w:val="0262CEFC"/>
    <w:lvl w:ilvl="0" w:tplc="EEFCB8EE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F4BD0"/>
    <w:multiLevelType w:val="hybridMultilevel"/>
    <w:tmpl w:val="44A837E6"/>
    <w:lvl w:ilvl="0" w:tplc="534AC872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101B"/>
    <w:multiLevelType w:val="hybridMultilevel"/>
    <w:tmpl w:val="E1C62EC0"/>
    <w:lvl w:ilvl="0" w:tplc="34B210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51B"/>
    <w:multiLevelType w:val="hybridMultilevel"/>
    <w:tmpl w:val="1B608D1A"/>
    <w:lvl w:ilvl="0" w:tplc="A1585F3C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63746">
    <w:abstractNumId w:val="0"/>
  </w:num>
  <w:num w:numId="2" w16cid:durableId="673218138">
    <w:abstractNumId w:val="4"/>
  </w:num>
  <w:num w:numId="3" w16cid:durableId="1095053866">
    <w:abstractNumId w:val="1"/>
  </w:num>
  <w:num w:numId="4" w16cid:durableId="1010178592">
    <w:abstractNumId w:val="2"/>
  </w:num>
  <w:num w:numId="5" w16cid:durableId="2054038992">
    <w:abstractNumId w:val="5"/>
  </w:num>
  <w:num w:numId="6" w16cid:durableId="203981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2308C"/>
    <w:rsid w:val="0003135B"/>
    <w:rsid w:val="00055384"/>
    <w:rsid w:val="0007124C"/>
    <w:rsid w:val="00075BBA"/>
    <w:rsid w:val="00075D2F"/>
    <w:rsid w:val="0009548E"/>
    <w:rsid w:val="000A1FC9"/>
    <w:rsid w:val="000A346B"/>
    <w:rsid w:val="000A4B82"/>
    <w:rsid w:val="000B36D0"/>
    <w:rsid w:val="00101B3F"/>
    <w:rsid w:val="001139AD"/>
    <w:rsid w:val="00122569"/>
    <w:rsid w:val="001A7538"/>
    <w:rsid w:val="001C6AB7"/>
    <w:rsid w:val="001D7128"/>
    <w:rsid w:val="001F1C4A"/>
    <w:rsid w:val="001F67BE"/>
    <w:rsid w:val="001F7A99"/>
    <w:rsid w:val="0020266B"/>
    <w:rsid w:val="00206DBA"/>
    <w:rsid w:val="0021350D"/>
    <w:rsid w:val="002158A3"/>
    <w:rsid w:val="00225F6F"/>
    <w:rsid w:val="00237744"/>
    <w:rsid w:val="002413C5"/>
    <w:rsid w:val="00257486"/>
    <w:rsid w:val="00275908"/>
    <w:rsid w:val="002C1C3E"/>
    <w:rsid w:val="002F1DE4"/>
    <w:rsid w:val="00322960"/>
    <w:rsid w:val="00344D7E"/>
    <w:rsid w:val="003676D9"/>
    <w:rsid w:val="003B397A"/>
    <w:rsid w:val="003C0764"/>
    <w:rsid w:val="003D6DB6"/>
    <w:rsid w:val="003E061F"/>
    <w:rsid w:val="00400F33"/>
    <w:rsid w:val="00451BCB"/>
    <w:rsid w:val="00496C0A"/>
    <w:rsid w:val="004E3693"/>
    <w:rsid w:val="004E6A07"/>
    <w:rsid w:val="004F027F"/>
    <w:rsid w:val="005249E8"/>
    <w:rsid w:val="00547D80"/>
    <w:rsid w:val="00581DC9"/>
    <w:rsid w:val="005B1946"/>
    <w:rsid w:val="005E5EEF"/>
    <w:rsid w:val="005F458D"/>
    <w:rsid w:val="00602FCF"/>
    <w:rsid w:val="00604846"/>
    <w:rsid w:val="00607E30"/>
    <w:rsid w:val="006618E1"/>
    <w:rsid w:val="00682B70"/>
    <w:rsid w:val="00690EDC"/>
    <w:rsid w:val="006A3B95"/>
    <w:rsid w:val="006B5B4C"/>
    <w:rsid w:val="006C3902"/>
    <w:rsid w:val="006D503D"/>
    <w:rsid w:val="006E0C67"/>
    <w:rsid w:val="006F3DA7"/>
    <w:rsid w:val="00701CDC"/>
    <w:rsid w:val="00715B63"/>
    <w:rsid w:val="007252A6"/>
    <w:rsid w:val="007267DD"/>
    <w:rsid w:val="00732A0D"/>
    <w:rsid w:val="00741B0E"/>
    <w:rsid w:val="00755536"/>
    <w:rsid w:val="007647A1"/>
    <w:rsid w:val="007668B1"/>
    <w:rsid w:val="0079071B"/>
    <w:rsid w:val="007D7248"/>
    <w:rsid w:val="007F2FA6"/>
    <w:rsid w:val="00821C4E"/>
    <w:rsid w:val="00821F9A"/>
    <w:rsid w:val="0082366E"/>
    <w:rsid w:val="0082690D"/>
    <w:rsid w:val="00833AED"/>
    <w:rsid w:val="00840152"/>
    <w:rsid w:val="00852E04"/>
    <w:rsid w:val="008534F5"/>
    <w:rsid w:val="00866AA4"/>
    <w:rsid w:val="00884FFB"/>
    <w:rsid w:val="00886252"/>
    <w:rsid w:val="008A2BE7"/>
    <w:rsid w:val="008C3C68"/>
    <w:rsid w:val="008C483F"/>
    <w:rsid w:val="008D3756"/>
    <w:rsid w:val="008E76AD"/>
    <w:rsid w:val="00910646"/>
    <w:rsid w:val="00911F32"/>
    <w:rsid w:val="00920EAC"/>
    <w:rsid w:val="00920EF5"/>
    <w:rsid w:val="00933D00"/>
    <w:rsid w:val="00985F48"/>
    <w:rsid w:val="00990722"/>
    <w:rsid w:val="009C7C40"/>
    <w:rsid w:val="00A07521"/>
    <w:rsid w:val="00A17B47"/>
    <w:rsid w:val="00AC7918"/>
    <w:rsid w:val="00AD0D30"/>
    <w:rsid w:val="00AD5CD3"/>
    <w:rsid w:val="00AF3676"/>
    <w:rsid w:val="00B070AA"/>
    <w:rsid w:val="00B13212"/>
    <w:rsid w:val="00B22764"/>
    <w:rsid w:val="00B307C3"/>
    <w:rsid w:val="00B34284"/>
    <w:rsid w:val="00B52E89"/>
    <w:rsid w:val="00B6629F"/>
    <w:rsid w:val="00B71000"/>
    <w:rsid w:val="00B72189"/>
    <w:rsid w:val="00B773E5"/>
    <w:rsid w:val="00BB457E"/>
    <w:rsid w:val="00BC36F5"/>
    <w:rsid w:val="00BD7813"/>
    <w:rsid w:val="00C1259B"/>
    <w:rsid w:val="00C215C1"/>
    <w:rsid w:val="00C32E61"/>
    <w:rsid w:val="00C35B48"/>
    <w:rsid w:val="00C52175"/>
    <w:rsid w:val="00C56FD9"/>
    <w:rsid w:val="00C64B8C"/>
    <w:rsid w:val="00C76F8B"/>
    <w:rsid w:val="00CC1B50"/>
    <w:rsid w:val="00CC61CC"/>
    <w:rsid w:val="00CD3C7A"/>
    <w:rsid w:val="00CD68D3"/>
    <w:rsid w:val="00CE44A1"/>
    <w:rsid w:val="00D14424"/>
    <w:rsid w:val="00D2759F"/>
    <w:rsid w:val="00D469C7"/>
    <w:rsid w:val="00D6237B"/>
    <w:rsid w:val="00D728E6"/>
    <w:rsid w:val="00DA16DF"/>
    <w:rsid w:val="00DB29B2"/>
    <w:rsid w:val="00DF4962"/>
    <w:rsid w:val="00E07AC3"/>
    <w:rsid w:val="00E37A3C"/>
    <w:rsid w:val="00E43DFB"/>
    <w:rsid w:val="00E52632"/>
    <w:rsid w:val="00E60EB7"/>
    <w:rsid w:val="00EB3692"/>
    <w:rsid w:val="00EB4BDB"/>
    <w:rsid w:val="00F01CA2"/>
    <w:rsid w:val="00F1528B"/>
    <w:rsid w:val="00F47DCD"/>
    <w:rsid w:val="00F541EB"/>
    <w:rsid w:val="00FB1A6A"/>
    <w:rsid w:val="00FC1383"/>
    <w:rsid w:val="00FC2290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A6D24"/>
  <w15:docId w15:val="{E5EEAA4B-205A-4CA0-BE8A-3825A94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16D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D7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od-kazup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zavod-kazu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3AC7-92C2-44AD-86DC-6ED15F91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Slađana Fumić</cp:lastModifiedBy>
  <cp:revision>8</cp:revision>
  <cp:lastPrinted>2023-09-07T08:15:00Z</cp:lastPrinted>
  <dcterms:created xsi:type="dcterms:W3CDTF">2026-06-15T12:28:00Z</dcterms:created>
  <dcterms:modified xsi:type="dcterms:W3CDTF">2026-06-16T11:59:00Z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